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1B" w:rsidRPr="009D411B" w:rsidRDefault="009D411B" w:rsidP="009D411B">
      <w:pPr>
        <w:spacing w:after="225" w:line="240" w:lineRule="auto"/>
        <w:outlineLvl w:val="0"/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>huyết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 xml:space="preserve"> ở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>Việt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kern w:val="36"/>
          <w:sz w:val="38"/>
          <w:szCs w:val="38"/>
        </w:rPr>
        <w:t xml:space="preserve"> Nam</w:t>
      </w:r>
    </w:p>
    <w:p w:rsidR="009D411B" w:rsidRPr="009D411B" w:rsidRDefault="009D411B" w:rsidP="009D411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bệnh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virut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do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muỗi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truyền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,</w:t>
      </w:r>
      <w:proofErr w:type="gramStart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 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bệnh</w:t>
      </w:r>
      <w:proofErr w:type="spellEnd"/>
      <w:proofErr w:type="gram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như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cúm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nặng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đôi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gây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ra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biến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chứng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nguy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hiểm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tiềm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tàng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gọi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bệnh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nặng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bệnh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virut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có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gây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ra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đại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dịch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đang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nổi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nhanh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chóng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nhiều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nơi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thế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Bệnh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phát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triển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mạnh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vùng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đô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thị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nghèo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ngoại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ô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thôn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nhưng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cũng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ảnh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hưởng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dân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cư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khá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nước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cận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.</w:t>
      </w:r>
    </w:p>
    <w:p w:rsidR="009D411B" w:rsidRPr="009D411B" w:rsidRDefault="009D411B" w:rsidP="009D411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Tỷ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toàn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cầu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tăng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gấp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30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lần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50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qua.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Ước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tính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hiện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nay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có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50 - 100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triệu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hàng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tại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hơn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quốc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có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dịch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gây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nguy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cơ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gần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một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nửa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dân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thế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.</w:t>
      </w:r>
    </w:p>
    <w:p w:rsidR="009D411B" w:rsidRPr="009D411B" w:rsidRDefault="009D411B" w:rsidP="009D411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Vẫn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chưa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có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phương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pháp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điều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trị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đặc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hiệu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/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nặng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nhưng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phát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hiện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sớm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sớm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cơ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sở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y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tế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được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sóc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y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tế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đúng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có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làm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giảm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tỷ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dưới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1%.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biện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pháp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kiểm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soát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véc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tơ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hiệu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quả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vấn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đề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then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phòng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.</w:t>
      </w:r>
    </w:p>
    <w:p w:rsidR="009D411B" w:rsidRPr="009D411B" w:rsidRDefault="009D411B" w:rsidP="009D411B">
      <w:pPr>
        <w:pBdr>
          <w:bottom w:val="single" w:sz="6" w:space="11" w:color="D8D8D8"/>
        </w:pBdr>
        <w:spacing w:after="225" w:line="240" w:lineRule="auto"/>
        <w:rPr>
          <w:rFonts w:ascii="Arial" w:eastAsia="Times New Roman" w:hAnsi="Arial" w:cs="Arial"/>
          <w:b/>
          <w:bCs/>
          <w:color w:val="20313B"/>
          <w:sz w:val="38"/>
          <w:szCs w:val="38"/>
        </w:rPr>
      </w:pPr>
      <w:r w:rsidRPr="009D411B">
        <w:rPr>
          <w:rFonts w:ascii="Arial" w:eastAsia="Times New Roman" w:hAnsi="Arial" w:cs="Arial"/>
          <w:b/>
          <w:bCs/>
          <w:color w:val="20313B"/>
          <w:sz w:val="38"/>
          <w:szCs w:val="38"/>
        </w:rPr>
        <w:t>Technical links</w:t>
      </w:r>
    </w:p>
    <w:p w:rsidR="009D411B" w:rsidRPr="009D411B" w:rsidRDefault="009D411B" w:rsidP="009D411B">
      <w:pPr>
        <w:numPr>
          <w:ilvl w:val="0"/>
          <w:numId w:val="1"/>
        </w:numPr>
        <w:pBdr>
          <w:bottom w:val="single" w:sz="6" w:space="8" w:color="F4F4F4"/>
        </w:pBdr>
        <w:spacing w:before="100" w:beforeAutospacing="1" w:after="100" w:afterAutospacing="1" w:line="240" w:lineRule="auto"/>
        <w:ind w:left="-450"/>
        <w:rPr>
          <w:rFonts w:ascii="Arial" w:eastAsia="Times New Roman" w:hAnsi="Arial" w:cs="Arial"/>
          <w:b/>
          <w:bCs/>
          <w:color w:val="3C4245"/>
          <w:sz w:val="24"/>
          <w:szCs w:val="24"/>
        </w:rPr>
      </w:pPr>
      <w:hyperlink r:id="rId5" w:history="1">
        <w:r w:rsidRPr="009D411B">
          <w:rPr>
            <w:rFonts w:ascii="Arial" w:eastAsia="Times New Roman" w:hAnsi="Arial" w:cs="Arial"/>
            <w:b/>
            <w:bCs/>
            <w:color w:val="008DC9"/>
            <w:sz w:val="24"/>
            <w:szCs w:val="24"/>
            <w:u w:val="single"/>
          </w:rPr>
          <w:t>Fact sheets</w:t>
        </w:r>
      </w:hyperlink>
    </w:p>
    <w:p w:rsidR="009D411B" w:rsidRPr="009D411B" w:rsidRDefault="009D411B" w:rsidP="009D411B">
      <w:pPr>
        <w:numPr>
          <w:ilvl w:val="0"/>
          <w:numId w:val="1"/>
        </w:numPr>
        <w:spacing w:before="100" w:beforeAutospacing="1" w:after="100" w:afterAutospacing="1" w:line="240" w:lineRule="auto"/>
        <w:ind w:left="-450"/>
        <w:rPr>
          <w:rFonts w:ascii="Arial" w:eastAsia="Times New Roman" w:hAnsi="Arial" w:cs="Arial"/>
          <w:b/>
          <w:bCs/>
          <w:color w:val="3C4245"/>
          <w:sz w:val="24"/>
          <w:szCs w:val="24"/>
        </w:rPr>
      </w:pPr>
      <w:hyperlink r:id="rId6" w:history="1">
        <w:r w:rsidRPr="009D411B">
          <w:rPr>
            <w:rFonts w:ascii="Arial" w:eastAsia="Times New Roman" w:hAnsi="Arial" w:cs="Arial"/>
            <w:b/>
            <w:bCs/>
            <w:color w:val="008DC9"/>
            <w:sz w:val="24"/>
            <w:szCs w:val="24"/>
            <w:u w:val="single"/>
          </w:rPr>
          <w:t>Data</w:t>
        </w:r>
      </w:hyperlink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r w:rsidRPr="009D411B">
        <w:rPr>
          <w:rFonts w:ascii="Arial" w:eastAsia="Times New Roman" w:hAnsi="Arial" w:cs="Arial"/>
          <w:color w:val="3C4245"/>
          <w:sz w:val="24"/>
          <w:szCs w:val="24"/>
        </w:rPr>
        <w:t>Previous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Phòng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chống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huyết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thành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phòng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do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từ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2005</w:t>
      </w:r>
      <w:proofErr w:type="gram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,tỷ</w:t>
      </w:r>
      <w:proofErr w:type="gram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được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duy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trì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mức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dưới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1 000 ca.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huyết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Tình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ổn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định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đợt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điểm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thường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br/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khoảng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6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hàng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Tỷ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100 000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dân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tăng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từ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120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br/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2009 (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tương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105 370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)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194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2017 (184 000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).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Khu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vực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mắc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nhiều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nhất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Hầu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xảy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ra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vực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miền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trung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miền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nam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Phòng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chống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huyết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thành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phòng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do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từ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2005</w:t>
      </w:r>
      <w:proofErr w:type="gram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,tỷ</w:t>
      </w:r>
      <w:proofErr w:type="gram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được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duy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trì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mức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dưới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1 000 ca.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huyết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lastRenderedPageBreak/>
        <w:t>Tình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ổn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định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,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đợt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điểm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thường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vào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br/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khoảng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6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đến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hàng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Tỷ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100 000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dân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tăng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từ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120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br/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2009 (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tương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đương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105 370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)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lên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194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2017 (184 000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>).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Khu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vực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mắc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nhiều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nhất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Hầu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các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mắc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xảy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ra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khu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vực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miền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trung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và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miền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nam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Nam.</w:t>
      </w:r>
    </w:p>
    <w:p w:rsidR="009D411B" w:rsidRPr="009D411B" w:rsidRDefault="009D411B" w:rsidP="009D411B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20313B"/>
          <w:sz w:val="30"/>
          <w:szCs w:val="30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Phòng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chống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20313B"/>
          <w:sz w:val="30"/>
          <w:szCs w:val="30"/>
        </w:rPr>
        <w:t>huyết</w:t>
      </w:r>
      <w:proofErr w:type="spellEnd"/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Nam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đã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thành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công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việc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phòng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chống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do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sốt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xuất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huyết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.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Kể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từ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năm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2005</w:t>
      </w:r>
      <w:proofErr w:type="gram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,tỷ</w:t>
      </w:r>
      <w:proofErr w:type="gram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lệ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tử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vong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được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duy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trì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ở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mức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dưới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</w:t>
      </w:r>
      <w:proofErr w:type="spellStart"/>
      <w:r w:rsidRPr="009D411B">
        <w:rPr>
          <w:rFonts w:ascii="Arial" w:eastAsia="Times New Roman" w:hAnsi="Arial" w:cs="Arial"/>
          <w:color w:val="3C4245"/>
          <w:sz w:val="24"/>
          <w:szCs w:val="24"/>
        </w:rPr>
        <w:t>trong</w:t>
      </w:r>
      <w:proofErr w:type="spellEnd"/>
      <w:r w:rsidRPr="009D411B">
        <w:rPr>
          <w:rFonts w:ascii="Arial" w:eastAsia="Times New Roman" w:hAnsi="Arial" w:cs="Arial"/>
          <w:color w:val="3C4245"/>
          <w:sz w:val="24"/>
          <w:szCs w:val="24"/>
        </w:rPr>
        <w:t xml:space="preserve"> 1 000 ca.</w:t>
      </w:r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r w:rsidRPr="009D411B">
        <w:rPr>
          <w:rFonts w:ascii="Arial" w:eastAsia="Times New Roman" w:hAnsi="Arial" w:cs="Arial"/>
          <w:color w:val="3C4245"/>
          <w:sz w:val="24"/>
          <w:szCs w:val="24"/>
        </w:rPr>
        <w:t>Next</w:t>
      </w:r>
    </w:p>
    <w:p w:rsidR="009D411B" w:rsidRPr="009D411B" w:rsidRDefault="009D411B" w:rsidP="009D411B">
      <w:pPr>
        <w:spacing w:line="750" w:lineRule="atLeast"/>
        <w:jc w:val="center"/>
        <w:rPr>
          <w:rFonts w:ascii="Arial" w:eastAsia="Times New Roman" w:hAnsi="Arial" w:cs="Arial"/>
          <w:b/>
          <w:bCs/>
          <w:color w:val="008DC9"/>
          <w:sz w:val="24"/>
          <w:szCs w:val="24"/>
        </w:rPr>
      </w:pPr>
      <w:r w:rsidRPr="009D411B">
        <w:rPr>
          <w:rFonts w:ascii="Arial" w:eastAsia="Times New Roman" w:hAnsi="Arial" w:cs="Arial"/>
          <w:b/>
          <w:bCs/>
          <w:color w:val="008DC9"/>
          <w:sz w:val="24"/>
          <w:szCs w:val="24"/>
        </w:rPr>
        <w:t>1 - 3</w:t>
      </w:r>
    </w:p>
    <w:p w:rsidR="009D411B" w:rsidRPr="009D411B" w:rsidRDefault="009D411B" w:rsidP="009D411B">
      <w:pPr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</w:rPr>
      </w:pPr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 xml:space="preserve">Tin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>tức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>nổi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>bật</w:t>
      </w:r>
      <w:proofErr w:type="spellEnd"/>
    </w:p>
    <w:p w:rsidR="009D411B" w:rsidRPr="009D411B" w:rsidRDefault="009D411B" w:rsidP="009D411B">
      <w:pPr>
        <w:spacing w:line="240" w:lineRule="auto"/>
        <w:rPr>
          <w:rFonts w:ascii="Arial" w:eastAsia="Times New Roman" w:hAnsi="Arial" w:cs="Arial"/>
          <w:b/>
          <w:bCs/>
          <w:color w:val="3C4245"/>
          <w:sz w:val="38"/>
          <w:szCs w:val="38"/>
        </w:rPr>
      </w:pPr>
      <w:hyperlink r:id="rId7" w:history="1">
        <w:proofErr w:type="spellStart"/>
        <w:r w:rsidRPr="009D411B">
          <w:rPr>
            <w:rFonts w:ascii="Arial" w:eastAsia="Times New Roman" w:hAnsi="Arial" w:cs="Arial"/>
            <w:b/>
            <w:bCs/>
            <w:color w:val="008DC9"/>
            <w:sz w:val="38"/>
            <w:szCs w:val="38"/>
            <w:u w:val="single"/>
          </w:rPr>
          <w:t>Tất</w:t>
        </w:r>
        <w:proofErr w:type="spellEnd"/>
        <w:r w:rsidRPr="009D411B">
          <w:rPr>
            <w:rFonts w:ascii="Arial" w:eastAsia="Times New Roman" w:hAnsi="Arial" w:cs="Arial"/>
            <w:b/>
            <w:bCs/>
            <w:color w:val="008DC9"/>
            <w:sz w:val="38"/>
            <w:szCs w:val="38"/>
            <w:u w:val="single"/>
          </w:rPr>
          <w:t xml:space="preserve"> </w:t>
        </w:r>
        <w:proofErr w:type="spellStart"/>
        <w:r w:rsidRPr="009D411B">
          <w:rPr>
            <w:rFonts w:ascii="Arial" w:eastAsia="Times New Roman" w:hAnsi="Arial" w:cs="Arial"/>
            <w:b/>
            <w:bCs/>
            <w:color w:val="008DC9"/>
            <w:sz w:val="38"/>
            <w:szCs w:val="38"/>
            <w:u w:val="single"/>
          </w:rPr>
          <w:t>cả</w:t>
        </w:r>
        <w:proofErr w:type="spellEnd"/>
        <w:r w:rsidRPr="009D411B">
          <w:rPr>
            <w:rFonts w:ascii="Arial" w:eastAsia="Times New Roman" w:hAnsi="Arial" w:cs="Arial"/>
            <w:b/>
            <w:bCs/>
            <w:color w:val="008DC9"/>
            <w:sz w:val="38"/>
            <w:szCs w:val="38"/>
            <w:u w:val="single"/>
          </w:rPr>
          <w:t xml:space="preserve"> →</w:t>
        </w:r>
      </w:hyperlink>
    </w:p>
    <w:p w:rsidR="009D411B" w:rsidRPr="009D411B" w:rsidRDefault="009D411B" w:rsidP="009D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9D411B">
        <w:rPr>
          <w:rFonts w:ascii="Arial" w:eastAsia="Times New Roman" w:hAnsi="Arial" w:cs="Arial"/>
          <w:color w:val="3C4245"/>
          <w:sz w:val="24"/>
          <w:szCs w:val="24"/>
        </w:rPr>
        <w:fldChar w:fldCharType="begin"/>
      </w:r>
      <w:r w:rsidRPr="009D411B">
        <w:rPr>
          <w:rFonts w:ascii="Arial" w:eastAsia="Times New Roman" w:hAnsi="Arial" w:cs="Arial"/>
          <w:color w:val="3C4245"/>
          <w:sz w:val="24"/>
          <w:szCs w:val="24"/>
        </w:rPr>
        <w:instrText xml:space="preserve"> HYPERLINK "https://www.who.int/vietnam/vi/news/detail/16-07-2019-dengue-increase-likely-during-rainy-season-ministry-of-health-who-warn" </w:instrText>
      </w:r>
      <w:r w:rsidRPr="009D411B">
        <w:rPr>
          <w:rFonts w:ascii="Arial" w:eastAsia="Times New Roman" w:hAnsi="Arial" w:cs="Arial"/>
          <w:color w:val="3C4245"/>
          <w:sz w:val="24"/>
          <w:szCs w:val="24"/>
        </w:rPr>
        <w:fldChar w:fldCharType="separate"/>
      </w:r>
    </w:p>
    <w:p w:rsidR="009D411B" w:rsidRPr="009D411B" w:rsidRDefault="009D411B" w:rsidP="009D41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6A6A6A"/>
          <w:sz w:val="20"/>
          <w:szCs w:val="20"/>
        </w:rPr>
      </w:pPr>
      <w:r w:rsidRPr="009D411B">
        <w:rPr>
          <w:rFonts w:ascii="Arial" w:eastAsia="Times New Roman" w:hAnsi="Arial" w:cs="Arial"/>
          <w:color w:val="6A6A6A"/>
          <w:sz w:val="21"/>
          <w:szCs w:val="21"/>
        </w:rPr>
        <w:t>16 July 2019</w:t>
      </w:r>
      <w:r w:rsidRPr="009D411B">
        <w:rPr>
          <w:rFonts w:ascii="Arial" w:eastAsia="Times New Roman" w:hAnsi="Arial" w:cs="Arial"/>
          <w:b/>
          <w:bCs/>
          <w:color w:val="6A6A6A"/>
          <w:sz w:val="20"/>
          <w:szCs w:val="20"/>
        </w:rPr>
        <w:t> </w:t>
      </w:r>
    </w:p>
    <w:p w:rsidR="009D411B" w:rsidRPr="009D411B" w:rsidRDefault="009D411B" w:rsidP="009D411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color w:val="6A6A6A"/>
          <w:sz w:val="21"/>
          <w:szCs w:val="21"/>
        </w:rPr>
      </w:pPr>
      <w:r w:rsidRPr="009D411B">
        <w:rPr>
          <w:rFonts w:ascii="Arial" w:eastAsia="Times New Roman" w:hAnsi="Arial" w:cs="Arial"/>
          <w:color w:val="6A6A6A"/>
          <w:sz w:val="21"/>
          <w:szCs w:val="21"/>
        </w:rPr>
        <w:t xml:space="preserve">Tin </w:t>
      </w:r>
      <w:proofErr w:type="spellStart"/>
      <w:r w:rsidRPr="009D411B">
        <w:rPr>
          <w:rFonts w:ascii="Arial" w:eastAsia="Times New Roman" w:hAnsi="Arial" w:cs="Arial"/>
          <w:color w:val="6A6A6A"/>
          <w:sz w:val="21"/>
          <w:szCs w:val="21"/>
        </w:rPr>
        <w:t>tức</w:t>
      </w:r>
      <w:proofErr w:type="spellEnd"/>
      <w:r w:rsidRPr="009D411B">
        <w:rPr>
          <w:rFonts w:ascii="Arial" w:eastAsia="Times New Roman" w:hAnsi="Arial" w:cs="Arial"/>
          <w:color w:val="6A6A6A"/>
          <w:sz w:val="21"/>
          <w:szCs w:val="21"/>
        </w:rPr>
        <w:t xml:space="preserve"> </w:t>
      </w:r>
      <w:proofErr w:type="spellStart"/>
      <w:r w:rsidRPr="009D411B">
        <w:rPr>
          <w:rFonts w:ascii="Arial" w:eastAsia="Times New Roman" w:hAnsi="Arial" w:cs="Arial"/>
          <w:color w:val="6A6A6A"/>
          <w:sz w:val="21"/>
          <w:szCs w:val="21"/>
        </w:rPr>
        <w:t>mới</w:t>
      </w:r>
      <w:proofErr w:type="spellEnd"/>
    </w:p>
    <w:p w:rsidR="009D411B" w:rsidRPr="009D411B" w:rsidRDefault="009D411B" w:rsidP="009D411B">
      <w:pPr>
        <w:pBdr>
          <w:bottom w:val="single" w:sz="6" w:space="1" w:color="3C4245"/>
        </w:pBd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3C4245"/>
          <w:sz w:val="27"/>
          <w:szCs w:val="27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Sốt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xuất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huyết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nhiều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khả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năng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gia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tăng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trong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mùa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mưa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,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Bộ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Y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tế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và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Tổ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chức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Y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tế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Thế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giới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cảnh</w:t>
      </w:r>
      <w:proofErr w:type="spellEnd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 xml:space="preserve"> </w:t>
      </w: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27"/>
          <w:szCs w:val="27"/>
        </w:rPr>
        <w:t>báo</w:t>
      </w:r>
      <w:proofErr w:type="spellEnd"/>
    </w:p>
    <w:p w:rsidR="009D411B" w:rsidRPr="009D411B" w:rsidRDefault="009D411B" w:rsidP="009D41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4245"/>
          <w:sz w:val="24"/>
          <w:szCs w:val="24"/>
        </w:rPr>
      </w:pPr>
      <w:r w:rsidRPr="009D411B">
        <w:rPr>
          <w:rFonts w:ascii="Arial" w:eastAsia="Times New Roman" w:hAnsi="Arial" w:cs="Arial"/>
          <w:color w:val="3C4245"/>
          <w:sz w:val="24"/>
          <w:szCs w:val="24"/>
        </w:rPr>
        <w:fldChar w:fldCharType="end"/>
      </w:r>
    </w:p>
    <w:p w:rsidR="009D411B" w:rsidRPr="009D411B" w:rsidRDefault="009D411B" w:rsidP="009D411B">
      <w:pPr>
        <w:spacing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</w:rPr>
      </w:pPr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>Videos</w:t>
      </w:r>
    </w:p>
    <w:p w:rsidR="009D411B" w:rsidRPr="009D411B" w:rsidRDefault="009D411B" w:rsidP="009D411B">
      <w:pPr>
        <w:spacing w:before="100" w:beforeAutospacing="1" w:after="100" w:afterAutospacing="1" w:line="420" w:lineRule="atLeast"/>
        <w:jc w:val="center"/>
        <w:outlineLvl w:val="1"/>
        <w:rPr>
          <w:rFonts w:ascii="Arial" w:eastAsia="Times New Roman" w:hAnsi="Arial" w:cs="Arial"/>
          <w:b/>
          <w:bCs/>
          <w:color w:val="3C4245"/>
          <w:sz w:val="38"/>
          <w:szCs w:val="38"/>
        </w:rPr>
      </w:pPr>
      <w:proofErr w:type="spellStart"/>
      <w:r w:rsidRPr="009D411B">
        <w:rPr>
          <w:rFonts w:ascii="Arial" w:eastAsia="Times New Roman" w:hAnsi="Arial" w:cs="Arial"/>
          <w:b/>
          <w:bCs/>
          <w:color w:val="3C4245"/>
          <w:sz w:val="38"/>
          <w:szCs w:val="38"/>
        </w:rPr>
        <w:t>Sắ</w:t>
      </w:r>
      <w:proofErr w:type="spellEnd"/>
    </w:p>
    <w:p w:rsidR="00857176" w:rsidRPr="009D411B" w:rsidRDefault="00857176" w:rsidP="009D411B">
      <w:bookmarkStart w:id="0" w:name="_GoBack"/>
      <w:bookmarkEnd w:id="0"/>
    </w:p>
    <w:sectPr w:rsidR="00857176" w:rsidRPr="009D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2EB"/>
    <w:multiLevelType w:val="multilevel"/>
    <w:tmpl w:val="2A6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BB"/>
    <w:rsid w:val="00857176"/>
    <w:rsid w:val="009D411B"/>
    <w:rsid w:val="00D8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622C7-A3EB-4249-9827-DEC75550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429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34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2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1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4927">
                          <w:marLeft w:val="0"/>
                          <w:marRight w:val="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37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05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4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74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8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94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834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5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9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1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1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712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1459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8E8E8"/>
                                <w:right w:val="none" w:sz="0" w:space="0" w:color="auto"/>
                              </w:divBdr>
                            </w:div>
                            <w:div w:id="1304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68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3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8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0330">
                              <w:marLeft w:val="0"/>
                              <w:marRight w:val="0"/>
                              <w:marTop w:val="4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vietnam/vi/health-topics/dengue/related-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o.int/vietnam/vi/health-topics/dengue" TargetMode="External"/><Relationship Id="rId5" Type="http://schemas.openxmlformats.org/officeDocument/2006/relationships/hyperlink" Target="https://www.who.int/vietnam/vi/health-topics/deng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2022-05-27T07:25:00Z</dcterms:created>
  <dcterms:modified xsi:type="dcterms:W3CDTF">2022-05-27T09:33:00Z</dcterms:modified>
</cp:coreProperties>
</file>