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22199" w:rsidRPr="00E22199" w14:paraId="6459D1C9" w14:textId="77777777" w:rsidTr="00E2219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A152" w14:textId="77777777" w:rsidR="00E22199" w:rsidRPr="00E22199" w:rsidRDefault="00E22199" w:rsidP="00E221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QUỐC HỘI</w:t>
            </w:r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57BC4" w14:textId="77777777" w:rsidR="00E22199" w:rsidRPr="00E22199" w:rsidRDefault="00E22199" w:rsidP="00E221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E22199" w:rsidRPr="00E22199" w14:paraId="7ABF4F97" w14:textId="77777777" w:rsidTr="00E2219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0613" w14:textId="77777777" w:rsidR="00E22199" w:rsidRPr="00E22199" w:rsidRDefault="00E22199" w:rsidP="00E221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221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Luật</w:t>
            </w:r>
            <w:proofErr w:type="spellEnd"/>
            <w:r w:rsidRPr="00E221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21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E221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09/2022/QH15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002FB" w14:textId="77777777" w:rsidR="00E22199" w:rsidRPr="00E22199" w:rsidRDefault="00E22199" w:rsidP="00E2219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221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</w:t>
            </w:r>
            <w:proofErr w:type="spellEnd"/>
            <w:r w:rsidRPr="00E221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21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Nội</w:t>
            </w:r>
            <w:proofErr w:type="spellEnd"/>
            <w:r w:rsidRPr="00E221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21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E221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09 </w:t>
            </w:r>
            <w:proofErr w:type="spellStart"/>
            <w:r w:rsidRPr="00E221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E221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11 </w:t>
            </w:r>
            <w:proofErr w:type="spellStart"/>
            <w:r w:rsidRPr="00E221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E221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2022</w:t>
            </w:r>
          </w:p>
        </w:tc>
      </w:tr>
    </w:tbl>
    <w:p w14:paraId="185D5017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4ED63C20" w14:textId="77777777" w:rsidR="00E22199" w:rsidRPr="00E22199" w:rsidRDefault="00E22199" w:rsidP="00E2219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1"/>
      <w:r w:rsidRPr="00E22199">
        <w:rPr>
          <w:rFonts w:ascii="Arial" w:eastAsia="Times New Roman" w:hAnsi="Arial" w:cs="Arial"/>
          <w:b/>
          <w:bCs/>
          <w:color w:val="000000"/>
          <w:sz w:val="24"/>
          <w:szCs w:val="24"/>
        </w:rPr>
        <w:t>LUẬT</w:t>
      </w:r>
      <w:bookmarkEnd w:id="0"/>
    </w:p>
    <w:p w14:paraId="0BCD7331" w14:textId="77777777" w:rsidR="00E22199" w:rsidRPr="00E22199" w:rsidRDefault="00E22199" w:rsidP="00E2219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1_name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 ĐỔI, BỔ SUNG MỘT SỐ ĐIỀU CỦA LUẬT TẦN SỐ VÔ TUYẾN ĐIỆN</w:t>
      </w:r>
      <w:bookmarkEnd w:id="1"/>
    </w:p>
    <w:p w14:paraId="63C8D0ED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cứ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fldChar w:fldCharType="begin"/>
      </w:r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instrText xml:space="preserve"> HYPERLINK "https://thuvienphapluat.vn/van-ban/Bo-may-hanh-chinh/Hien-phap-nam-2013-215627.aspx" \t "_blank" </w:instrText>
      </w:r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fldChar w:fldCharType="separate"/>
      </w:r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>Hiến</w:t>
      </w:r>
      <w:proofErr w:type="spellEnd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>pháp</w:t>
      </w:r>
      <w:proofErr w:type="spellEnd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>nước</w:t>
      </w:r>
      <w:proofErr w:type="spellEnd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>Cộng</w:t>
      </w:r>
      <w:proofErr w:type="spellEnd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>hòa</w:t>
      </w:r>
      <w:proofErr w:type="spellEnd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>xã</w:t>
      </w:r>
      <w:proofErr w:type="spellEnd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>hội</w:t>
      </w:r>
      <w:proofErr w:type="spellEnd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>chủ</w:t>
      </w:r>
      <w:proofErr w:type="spellEnd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>nghĩa</w:t>
      </w:r>
      <w:proofErr w:type="spellEnd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>Việt</w:t>
      </w:r>
      <w:proofErr w:type="spellEnd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 xml:space="preserve"> Nam</w:t>
      </w:r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fldChar w:fldCharType="end"/>
      </w:r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;</w:t>
      </w:r>
    </w:p>
    <w:p w14:paraId="2A0401CB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hội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ban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hành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một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fldChar w:fldCharType="begin"/>
      </w:r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instrText xml:space="preserve"> HYPERLINK "https://thuvienphapluat.vn/van-ban/Cong-nghe-thong-tin/Luat-tan-so-vo-tuyen-dien-nam-2009-98673.aspx" \t "_blank" </w:instrText>
      </w:r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fldChar w:fldCharType="separate"/>
      </w:r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>Luật</w:t>
      </w:r>
      <w:proofErr w:type="spellEnd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>Tần</w:t>
      </w:r>
      <w:proofErr w:type="spellEnd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>số</w:t>
      </w:r>
      <w:proofErr w:type="spellEnd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>vô</w:t>
      </w:r>
      <w:proofErr w:type="spellEnd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>tuyến</w:t>
      </w:r>
      <w:proofErr w:type="spellEnd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>điện</w:t>
      </w:r>
      <w:proofErr w:type="spellEnd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>số</w:t>
      </w:r>
      <w:proofErr w:type="spellEnd"/>
      <w:r w:rsidRPr="00E22199">
        <w:rPr>
          <w:rFonts w:ascii="Arial" w:eastAsia="Times New Roman" w:hAnsi="Arial" w:cs="Arial"/>
          <w:i/>
          <w:iCs/>
          <w:color w:val="0E70C3"/>
          <w:sz w:val="18"/>
          <w:szCs w:val="18"/>
          <w:u w:val="single"/>
        </w:rPr>
        <w:t xml:space="preserve"> 42/2009/QH12</w:t>
      </w:r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fldChar w:fldCharType="end"/>
      </w:r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14:paraId="76C59F96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dieu_1"/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1.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một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điện</w:t>
      </w:r>
      <w:bookmarkEnd w:id="2"/>
      <w:proofErr w:type="spellEnd"/>
    </w:p>
    <w:p w14:paraId="16882B57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khoan_1_1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bookmarkEnd w:id="3"/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4" w:name="dc_1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5</w:t>
      </w:r>
      <w:bookmarkEnd w:id="4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5" w:name="khoan_1_1_name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  <w:bookmarkEnd w:id="5"/>
    </w:p>
    <w:p w14:paraId="00F3672D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c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14C9D02A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“c)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hồi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lệ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;”;</w:t>
      </w:r>
    </w:p>
    <w:p w14:paraId="1D43922F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h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444BD985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“h)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Bồi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dưỡng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hướng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dẫn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;”.</w:t>
      </w:r>
    </w:p>
    <w:p w14:paraId="2CE4AD9B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6" w:name="khoan_2_1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bookmarkEnd w:id="6"/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7" w:name="dc_2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11</w:t>
      </w:r>
      <w:bookmarkEnd w:id="7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8" w:name="khoan_2_1_name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  <w:bookmarkEnd w:id="8"/>
    </w:p>
    <w:p w14:paraId="5BE4CCDA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 </w:t>
      </w:r>
      <w:bookmarkStart w:id="9" w:name="dc_4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b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c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</w:t>
      </w:r>
      <w:bookmarkEnd w:id="9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7393B437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“b)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chia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thống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47586D7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thống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di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mặt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bao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rộng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nhóm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2BC2861A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chia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tiêu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chuẩn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;”;</w:t>
      </w:r>
    </w:p>
    <w:p w14:paraId="609F5C6C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 </w:t>
      </w:r>
      <w:bookmarkStart w:id="10" w:name="dc_5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</w:t>
      </w:r>
      <w:bookmarkEnd w:id="10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5CA9984A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“3.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nhập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khẩu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ứng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sóng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phù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biệt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11a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.”.</w:t>
      </w:r>
    </w:p>
    <w:p w14:paraId="71442ECA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1" w:name="khoan_3_1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11a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bookmarkEnd w:id="11"/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12" w:name="dc_6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11</w:t>
      </w:r>
      <w:bookmarkEnd w:id="12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13" w:name="khoan_3_1_name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  <w:bookmarkEnd w:id="13"/>
    </w:p>
    <w:p w14:paraId="5FC3E867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>“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11a.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đặc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biệt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ngoài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hoạch</w:t>
      </w:r>
      <w:proofErr w:type="spellEnd"/>
    </w:p>
    <w:p w14:paraId="79B79C58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biệt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bao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lãm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nghiên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cứu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nghiệm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nghệ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3F5CF83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.”.</w:t>
      </w:r>
    </w:p>
    <w:p w14:paraId="58268BA9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4" w:name="khoan_4_1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</w:t>
      </w:r>
      <w:bookmarkEnd w:id="14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15" w:name="dc_7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</w:t>
      </w:r>
      <w:bookmarkEnd w:id="15"/>
      <w:r w:rsidRPr="00E22199">
        <w:rPr>
          <w:rFonts w:ascii="Arial" w:eastAsia="Times New Roman" w:hAnsi="Arial" w:cs="Arial"/>
          <w:color w:val="000000"/>
          <w:sz w:val="18"/>
          <w:szCs w:val="18"/>
        </w:rPr>
        <w:t>, </w:t>
      </w:r>
      <w:bookmarkStart w:id="16" w:name="khoan_4_1_name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17" w:name="dc_8"/>
      <w:bookmarkEnd w:id="16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</w:t>
      </w:r>
      <w:bookmarkEnd w:id="17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 </w:t>
      </w:r>
      <w:bookmarkStart w:id="18" w:name="dc_9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16</w:t>
      </w:r>
      <w:bookmarkEnd w:id="18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19" w:name="khoan_4_1_name_name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  <w:bookmarkEnd w:id="19"/>
    </w:p>
    <w:p w14:paraId="59C8BFA4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“3.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vượt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18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56CC9FA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3a.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qua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đấu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vượt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98D35AA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tiết</w:t>
      </w:r>
      <w:proofErr w:type="spellEnd"/>
      <w:r w:rsidRPr="00E2219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hồi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.”.</w:t>
      </w:r>
    </w:p>
    <w:p w14:paraId="79509D49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0" w:name="khoan_5_1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</w:t>
      </w:r>
      <w:bookmarkEnd w:id="20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21" w:name="dc_10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17</w:t>
      </w:r>
      <w:bookmarkEnd w:id="21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22" w:name="khoan_5_1_name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  <w:bookmarkEnd w:id="22"/>
    </w:p>
    <w:p w14:paraId="24AEF441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“2.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Phù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biệt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11a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.”.</w:t>
      </w:r>
    </w:p>
    <w:p w14:paraId="66DD2978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3" w:name="khoan_6_1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</w:t>
      </w:r>
      <w:bookmarkEnd w:id="23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24" w:name="dc_11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18</w:t>
      </w:r>
      <w:bookmarkEnd w:id="24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25" w:name="khoan_6_1_name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18a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26" w:name="dc_12"/>
      <w:bookmarkEnd w:id="25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18</w:t>
      </w:r>
      <w:bookmarkEnd w:id="26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4D8CC1DA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7" w:name="_hlk101857090"/>
      <w:r w:rsidRPr="00E22199">
        <w:rPr>
          <w:rFonts w:ascii="Arial" w:eastAsia="Times New Roman" w:hAnsi="Arial" w:cs="Arial"/>
          <w:color w:val="000000"/>
          <w:sz w:val="18"/>
          <w:szCs w:val="18"/>
        </w:rPr>
        <w:t>“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18.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Phương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thức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điện</w:t>
      </w:r>
      <w:bookmarkEnd w:id="27"/>
      <w:proofErr w:type="spellEnd"/>
    </w:p>
    <w:p w14:paraId="2BF59932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bao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0802D435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qua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đấu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đấu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tiêu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kỹ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đảm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đấu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6F939BD7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qua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tiêu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kỹ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đảm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0CCE75DA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nguyên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tắc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78BF1A7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qua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đấu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7EC27C1D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di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mặt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06206CAF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mặt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tướng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tình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lệ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4F62AB3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qua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sóng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nghệ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rộng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thúc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đẩy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cạnh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tranh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2D0E68D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tướng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qua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3297AAC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19541551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49C28F94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nghiệm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biệt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11a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480B01B9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tình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khẩn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03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20a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694DF1B1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d)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biệt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 tiếp phục vụ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gram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an</w:t>
      </w:r>
      <w:proofErr w:type="gram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03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an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14:paraId="6E3E0B2F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Bộ Quốc phòng, Bộ Công an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lập đề án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an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ý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ý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an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ý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an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trình</w: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 tướng Chính phủ phê duyệt đề án</w: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14:paraId="5D3FFBE4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đảm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ảnh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gram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an</w:t>
      </w:r>
      <w:proofErr w:type="gram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 an toàn, bảo vệ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cạnh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tranh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lành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mạnh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 </w:t>
      </w:r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xác định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nhiệm vụ quốc phòng, an ninh giao cho doanh nghiệp</w: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an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chiếm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tỷ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lệ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AAF305E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lastRenderedPageBreak/>
        <w:t>Trước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03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an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tướng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dừng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DDF7E7C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2042A18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18a.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kiện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tham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gia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đấu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giá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thi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tuyển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cam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kết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triển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khai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mạng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</w:t>
      </w:r>
      <w:proofErr w:type="spellEnd"/>
    </w:p>
    <w:p w14:paraId="24CFCCC3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đấu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bao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52EF19FF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a, d, đ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e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19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39C53E94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tương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ứng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đấu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EFE7FAB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nghĩa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64749D08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d)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8B93AE8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2. Cam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bao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2515D1EA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vốn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lưới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trạm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sóng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122CC9B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Vùng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sóng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3F1044E7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6E302FA7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d)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Chất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49A0FC6C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đ)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vùng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000A4A9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dung cam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dung cam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đấu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3B9B0AC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dung cam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b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5BBA90D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.”.</w:t>
      </w:r>
    </w:p>
    <w:p w14:paraId="7B512738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8" w:name="khoan_7_1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7.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bookmarkEnd w:id="28"/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29" w:name="dc_13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b, c</w:t>
      </w:r>
      <w:bookmarkEnd w:id="29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30" w:name="khoan_7_1_name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bookmarkEnd w:id="30"/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31" w:name="dc_14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d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19</w:t>
      </w:r>
      <w:bookmarkEnd w:id="31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32" w:name="khoan_7_1_name_name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  <w:bookmarkEnd w:id="32"/>
    </w:p>
    <w:p w14:paraId="735A84D4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“b)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72A6B206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sóng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00087783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d)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phù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biệt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11a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;”.</w:t>
      </w:r>
    </w:p>
    <w:p w14:paraId="5FDD7C48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3" w:name="khoan_8_1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8.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</w:t>
      </w:r>
      <w:bookmarkEnd w:id="33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34" w:name="dc_15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20</w:t>
      </w:r>
      <w:bookmarkEnd w:id="34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35" w:name="khoan_8_1_name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20a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36" w:name="dc_16"/>
      <w:bookmarkEnd w:id="35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20</w:t>
      </w:r>
      <w:bookmarkEnd w:id="36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4EF5CFFE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>“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20.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tần</w:t>
      </w:r>
      <w:proofErr w:type="spellEnd"/>
    </w:p>
    <w:p w14:paraId="473911B9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Nam</w:t>
      </w:r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14:paraId="7369C6DD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các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a, b, d, đ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e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19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BFEF243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18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các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a, b, d, đ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e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19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tướng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phê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duyệt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EA0D66C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20a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B4EBE28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3.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qua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đấu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56E1E4F6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Trúng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đấu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trúng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3319A8CE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trúng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đấu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trúng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A6DAED7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20a.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tần</w:t>
      </w:r>
      <w:proofErr w:type="spellEnd"/>
    </w:p>
    <w:p w14:paraId="5CD95D4C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9DD1BBB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tất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phù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chia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27D96B8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Chậm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03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70BFD1E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bao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61FA2D6E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a, b, d, đ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e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19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5ADC461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nghĩa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06539AE7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06A4557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d)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18a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7F30801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30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còn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06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186C955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chậm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30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do.</w:t>
      </w:r>
    </w:p>
    <w:p w14:paraId="0AE699D9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BA8D6C0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7.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nghiệm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tình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khẩn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11a,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18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.”.</w:t>
      </w:r>
    </w:p>
    <w:p w14:paraId="27435114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7" w:name="khoan_9_1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9.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</w:t>
      </w:r>
      <w:bookmarkEnd w:id="37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38" w:name="dc_17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22</w:t>
      </w:r>
      <w:bookmarkEnd w:id="38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39" w:name="khoan_9_1_name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  <w:bookmarkEnd w:id="39"/>
    </w:p>
    <w:p w14:paraId="5C8A3120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>“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22. Gia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sung,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;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ngừng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điện</w:t>
      </w:r>
      <w:proofErr w:type="spellEnd"/>
    </w:p>
    <w:p w14:paraId="3C8B6FB1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nguyên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tắc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17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4C48B5B0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nghĩa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tương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ứng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1C6EF95B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còn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30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60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90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vệ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6860D86B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vượt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phù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sóng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665B8232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d)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vượt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tương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ứng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tương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ứng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F9EA5A2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đ)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phê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duyệt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tướng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18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4452026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nguyên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tắc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17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4AEF4C03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còn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943F2BE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nghĩa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tương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ứng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1EC45332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phù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19, 20, 20a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tương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ứng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CB8556A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mất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hỏng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6B1C2CF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ngừng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1C8B706B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còn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ngừng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2C647E08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gắn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ngừng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còn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tròn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còn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30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2643C57C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gắn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ngừng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0FBF1F4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ngừng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còn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tròn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hồi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.”.</w:t>
      </w:r>
    </w:p>
    <w:p w14:paraId="2C7DD131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0" w:name="khoan_10_1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10.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bookmarkEnd w:id="40"/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41" w:name="dc_18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23</w:t>
      </w:r>
      <w:bookmarkEnd w:id="41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42" w:name="khoan_10_1_name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  <w:bookmarkEnd w:id="42"/>
    </w:p>
    <w:p w14:paraId="71CF1D70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43" w:name="dc_19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đ, e, g</w:t>
      </w:r>
      <w:bookmarkEnd w:id="43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h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44" w:name="dc_20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</w:t>
      </w:r>
      <w:bookmarkEnd w:id="44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31A94D52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“đ)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 khắc phục để</w: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chuyên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4708118A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e)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02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h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1B95B14E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g) Khi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sóng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tương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ứng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hồi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8BFAC77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h)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khắc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.”;</w:t>
      </w:r>
    </w:p>
    <w:p w14:paraId="4C4834BC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 </w:t>
      </w:r>
      <w:bookmarkStart w:id="45" w:name="dc_21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</w:t>
      </w:r>
      <w:bookmarkEnd w:id="45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46" w:name="dc_22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</w:t>
      </w:r>
      <w:bookmarkEnd w:id="46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091BF288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>“</w:t>
      </w:r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Sau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thời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hạn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01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năm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kể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từ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ngày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bị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thu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hồi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giấy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phép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sử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dụng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tần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số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vô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tuyến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điện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theo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quy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định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tại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các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điểm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b, c, d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và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đ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khoản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Điều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này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nhưng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chưa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đến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mức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bị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xử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lý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về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hình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sự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nếu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đã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khắc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phục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được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hậu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quả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và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có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đủ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điều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kiện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để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được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cấp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giấy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phép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theo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quy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định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của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Luật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này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thì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tổ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chức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cá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nhân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được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xét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cấp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giấy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phép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sử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dụng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tần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số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vô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tuyến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điện</w:t>
      </w:r>
      <w:proofErr w:type="spellEnd"/>
      <w:r w:rsidRPr="00E2219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103403E8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7" w:name="_hlk94195720"/>
      <w:r w:rsidRPr="00E22199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3.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hồi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.”.</w:t>
      </w:r>
      <w:bookmarkEnd w:id="47"/>
    </w:p>
    <w:p w14:paraId="36868D1C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8" w:name="khoan_11_1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11.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</w:t>
      </w:r>
      <w:bookmarkEnd w:id="48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49" w:name="dc_23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24</w:t>
      </w:r>
      <w:bookmarkEnd w:id="49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50" w:name="khoan_11_1_name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  <w:bookmarkEnd w:id="50"/>
    </w:p>
    <w:p w14:paraId="62E03CFE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>“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24.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Chuyển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nhượng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điện</w:t>
      </w:r>
      <w:proofErr w:type="spellEnd"/>
    </w:p>
    <w:p w14:paraId="4F90C399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qua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đấu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nhượng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05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FACB0ED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qua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nhượng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F0C66F7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nhượng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bao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39D6D6BD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nhượng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phù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nhượng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a, d, đ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e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19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kế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thừa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nghĩa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nhượng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01F8F5AB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rộng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nhượng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nhượng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vượt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rộng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46F54EE7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nhượng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đảm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ích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BE0CD16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thuận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nhượng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nhượng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nhượng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A289552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nhượng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nghĩa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thuế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thuế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1F51379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.”.</w:t>
      </w:r>
    </w:p>
    <w:p w14:paraId="41F8FB00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1" w:name="khoan_12_1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12.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</w:t>
      </w:r>
      <w:bookmarkEnd w:id="51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52" w:name="dc_24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31</w:t>
      </w:r>
      <w:bookmarkEnd w:id="52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53" w:name="khoan_12_1_name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  <w:bookmarkEnd w:id="53"/>
    </w:p>
    <w:p w14:paraId="07C1F403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>“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31.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Phí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lệ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phí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tiền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spellStart"/>
      <w:r w:rsidRPr="00E2219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cấp</w:t>
      </w:r>
      <w:proofErr w:type="spellEnd"/>
      <w:r w:rsidRPr="00E221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vi-VN"/>
        </w:rPr>
        <w:t> quyền sử dụng </w:t>
      </w:r>
      <w:proofErr w:type="spellStart"/>
      <w:r w:rsidRPr="00E2219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tần</w:t>
      </w:r>
      <w:proofErr w:type="spellEnd"/>
      <w:r w:rsidRPr="00E2219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số</w:t>
      </w:r>
      <w:proofErr w:type="spellEnd"/>
      <w:r w:rsidRPr="00E2219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vô</w:t>
      </w:r>
      <w:proofErr w:type="spellEnd"/>
      <w:r w:rsidRPr="00E2219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tuyến</w:t>
      </w:r>
      <w:proofErr w:type="spellEnd"/>
      <w:r w:rsidRPr="00E2219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Pr="00E2219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điện</w:t>
      </w:r>
      <w:proofErr w:type="spellEnd"/>
    </w:p>
    <w:p w14:paraId="36BAD5BB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lệ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8A63B14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đảm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bù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đắp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đảm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bình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đẳng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chiếm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sóng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bàn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C35476E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lệ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lệ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30226A6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c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18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4916010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an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an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18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nghĩa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bảo đảm nguyên tắc công bằng giữa doanh nghiệp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trực tiếp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an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 doanh nghiệp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cùng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81EEA4E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.”.</w:t>
      </w:r>
    </w:p>
    <w:p w14:paraId="350F8E6A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4" w:name="khoan_13_1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13.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</w:t>
      </w:r>
      <w:bookmarkEnd w:id="54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55" w:name="dc_25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</w:t>
      </w:r>
      <w:bookmarkEnd w:id="55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56" w:name="khoan_13_1_name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bookmarkEnd w:id="56"/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57" w:name="dc_26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32</w:t>
      </w:r>
      <w:bookmarkEnd w:id="57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58" w:name="khoan_13_1_name_name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  <w:bookmarkEnd w:id="58"/>
    </w:p>
    <w:p w14:paraId="30D74C21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“1.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di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di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tương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hòa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nghĩa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E905CBD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di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di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hồi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.”.</w:t>
      </w:r>
    </w:p>
    <w:p w14:paraId="134294D5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9" w:name="khoan_14_1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14.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bookmarkEnd w:id="59"/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60" w:name="dc_27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42</w:t>
      </w:r>
      <w:bookmarkEnd w:id="60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61" w:name="khoan_14_1_name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  <w:bookmarkEnd w:id="61"/>
    </w:p>
    <w:p w14:paraId="7C545E81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 </w:t>
      </w:r>
      <w:bookmarkStart w:id="62" w:name="dc_28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c</w:t>
      </w:r>
      <w:bookmarkEnd w:id="62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63" w:name="dc_29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c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</w:t>
      </w:r>
      <w:bookmarkEnd w:id="63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4BBA84BB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“c)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Phê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duyệt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vệ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4D82DC2A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d)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vệ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ảnh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thống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vệ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Nam.”;</w:t>
      </w:r>
    </w:p>
    <w:p w14:paraId="3045161E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e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64" w:name="dc_30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đ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</w:t>
      </w:r>
      <w:bookmarkEnd w:id="64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656E5516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“e)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vệ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ảnh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vệ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vệ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.”.</w:t>
      </w:r>
    </w:p>
    <w:p w14:paraId="54C3252D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65" w:name="khoan_15_1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15.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</w:t>
      </w:r>
      <w:bookmarkEnd w:id="65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66" w:name="dc_31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</w:t>
      </w:r>
      <w:bookmarkEnd w:id="66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67" w:name="khoan_15_1_name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bookmarkEnd w:id="67"/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68" w:name="dc_32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45</w:t>
      </w:r>
      <w:bookmarkEnd w:id="68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69" w:name="khoan_15_1_name_name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  <w:bookmarkEnd w:id="69"/>
    </w:p>
    <w:p w14:paraId="5D7616AC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“2.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an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gram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an</w:t>
      </w:r>
      <w:proofErr w:type="gram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riêng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thuận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kênh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18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650B0D5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tình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huống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ảnh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gram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an</w:t>
      </w:r>
      <w:proofErr w:type="gram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309CA7E2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an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gram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an</w:t>
      </w:r>
      <w:proofErr w:type="gram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04E14E0A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gây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nhiễu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an</w:t>
      </w:r>
      <w:proofErr w:type="gram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ngừng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thúc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tình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huống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.”.</w:t>
      </w:r>
    </w:p>
    <w:p w14:paraId="527B8D4E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70" w:name="khoan_16_1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16.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bookmarkEnd w:id="70"/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71" w:name="dc_33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46</w:t>
      </w:r>
      <w:bookmarkEnd w:id="71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72" w:name="khoan_16_1_name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  <w:bookmarkEnd w:id="72"/>
    </w:p>
    <w:p w14:paraId="68E8C199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 </w:t>
      </w:r>
      <w:bookmarkStart w:id="73" w:name="dc_34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a</w:t>
      </w:r>
      <w:bookmarkEnd w:id="73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445809BC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“a)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phân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gram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an</w:t>
      </w:r>
      <w:proofErr w:type="gram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đảm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kiệm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phù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;”;</w:t>
      </w:r>
    </w:p>
    <w:p w14:paraId="007A5482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e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74" w:name="dc_35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đ</w:t>
      </w:r>
      <w:bookmarkEnd w:id="74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70089F38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>“</w:t>
      </w:r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e)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, k</w:t>
      </w:r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iểm tra, thanh tra doanh nghiệp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trực tiếp phục vụ quốc phòng, </w:t>
      </w:r>
      <w:proofErr w:type="gramStart"/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an</w:t>
      </w:r>
      <w:proofErr w:type="gramEnd"/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ninh được cấp phép theo quy định tại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 </w:t>
      </w:r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khoản 4 Điều 18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thực hiện đề án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được Thủ tướng Chính phủ phê duyệt</w: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t>”.</w:t>
      </w:r>
    </w:p>
    <w:p w14:paraId="15D116B1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75" w:name="khoan_17_1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17.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thế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bỏ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cụm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  <w:bookmarkEnd w:id="75"/>
    </w:p>
    <w:p w14:paraId="1160402C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thế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cụm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“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”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cụm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“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tránh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”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76" w:name="dc_36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7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10</w:t>
      </w:r>
      <w:bookmarkEnd w:id="76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348A907B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thế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cụm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“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chuyên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”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cụm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“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”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77" w:name="dc_37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12</w:t>
      </w:r>
      <w:bookmarkEnd w:id="77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42D596E0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thế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cụm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“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”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“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”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78" w:name="dc_38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b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19,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25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26</w:t>
      </w:r>
      <w:bookmarkEnd w:id="78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1709E133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d)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Bỏ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cụm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“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ở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cự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ngắn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suất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,”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79" w:name="dc_39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27</w:t>
      </w:r>
      <w:bookmarkEnd w:id="79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7111227D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đ)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cụm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“;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vệ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”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“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vệ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”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80" w:name="dc_40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8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30</w:t>
      </w:r>
      <w:bookmarkEnd w:id="80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396501C2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e)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cụm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“,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ứng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sóng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”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cụm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“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”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81" w:name="dc_41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39</w:t>
      </w:r>
      <w:bookmarkEnd w:id="81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73013C20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g)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thế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cụm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“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trì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an”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“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”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82" w:name="dc_42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40</w:t>
      </w:r>
      <w:bookmarkEnd w:id="82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116C90DD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h)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Bỏ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cụm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“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44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”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83" w:name="dc_43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43</w:t>
      </w:r>
      <w:bookmarkEnd w:id="83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0CFE1DDE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cụm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“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tướng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phê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duyệt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dung”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cụm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“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”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84" w:name="dc_44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46</w:t>
      </w:r>
      <w:bookmarkEnd w:id="84"/>
      <w:r w:rsidRPr="00E2219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0BCC8E3D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k)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bỏ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85" w:name="dc_45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8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19</w:t>
      </w:r>
      <w:bookmarkEnd w:id="85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17983AA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86" w:name="dieu_2"/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2.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một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liên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quan</w:t>
      </w:r>
      <w:bookmarkEnd w:id="86"/>
      <w:proofErr w:type="spellEnd"/>
    </w:p>
    <w:p w14:paraId="6DBCF1DD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228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227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Phụ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IV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"https://thuvienphapluat.vn/van-ban/Doanh-nghiep/Luat-Dau-tu-so-61-2020-QH14-321051.aspx" \t "_blank" </w:instrTex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Luật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Đầu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tư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số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61/2020/QH14</w: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"https://thuvienphapluat.vn/van-ban/Tai-nguyen-Moi-truong/Luat-so-72-2020-QH14-Bao-ve-moi-truong-2020-431147.aspx" \t "_blank" </w:instrTex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Luật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số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72/2020/QH14</w: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t>,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"https://thuvienphapluat.vn/van-ban/Dau-tu/Luat-sua-doi-Luat-Dau-tu-cong-Luat-Dau-tu-theo-phuong-thuc-doi-tac-cong-tu-486653.aspx" \t "_blank" </w:instrTex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Luật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số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03/2022/QH15</w: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t>,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"https://thuvienphapluat.vn/van-ban/Van-hoa-Xa-hoi/Luat-Dien-anh-2022-486445.aspx" \t "_blank" </w:instrTex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Luật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số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05/2022/QH15</w: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"https://thuvienphapluat.vn/van-ban/Bao-hiem/Luat-Kinh-doanh-bao-hiem-2022-465916.aspx" \t "_blank" </w:instrTex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Luật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số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08/2022/QH15</w: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049794B7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>“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”.</w:t>
      </w:r>
    </w:p>
    <w:p w14:paraId="4630D379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cụm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“,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”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cụm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“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chống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rượu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bia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”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87" w:name="dc_46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64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15/2012/QH13</w:t>
      </w:r>
      <w:bookmarkEnd w:id="87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"https://thuvienphapluat.vn/van-ban/Thuong-mai/Luat-Hai-quan-2014-238637.aspx" \t "_blank" </w:instrTex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Luật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số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54/2014/QH13</w: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t>,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"https://thuvienphapluat.vn/van-ban/Tai-nguyen-Moi-truong/Luat-Thuy-san-338490.aspx" \t "_blank" </w:instrTex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Luật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số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18/2017/QH14</w: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"https://thuvienphapluat.vn/van-ban/Vi-pham-hanh-chinh/Luat-67-2020-QH14-xu-ly-vi-pham-hanh-chinh-sua-doi-373520.aspx" \t "_blank" </w:instrTex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Luật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số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67/2020/QH14</w: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A2D9C20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88" w:name="dieu_3"/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3.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Hiệu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lực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thi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hành</w:t>
      </w:r>
      <w:bookmarkEnd w:id="88"/>
      <w:proofErr w:type="spellEnd"/>
    </w:p>
    <w:p w14:paraId="22CB694B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7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2023,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0932AC6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7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2024.</w:t>
      </w:r>
    </w:p>
    <w:p w14:paraId="58DCE78A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89" w:name="dieu_4"/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4.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chuyển</w:t>
      </w:r>
      <w:proofErr w:type="spellEnd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tiếp</w:t>
      </w:r>
      <w:bookmarkStart w:id="90" w:name="_hlk94261258"/>
      <w:bookmarkEnd w:id="89"/>
      <w:bookmarkEnd w:id="90"/>
      <w:proofErr w:type="spellEnd"/>
    </w:p>
    <w:p w14:paraId="2DAB6B7B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7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2024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4471910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di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mặt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06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9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2023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91" w:name="dc_47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16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42/2009/QH12</w:t>
      </w:r>
      <w:bookmarkEnd w:id="91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92" w:name="dc_48"/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a, b, c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42/2009/QH12</w:t>
      </w:r>
      <w:bookmarkEnd w:id="92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9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15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9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2024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6994A4F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viễn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di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mặt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16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9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2024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1C4AE30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8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2023.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khối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chung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băng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tần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trạng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15B3A16" w14:textId="77777777" w:rsidR="00E22199" w:rsidRPr="00E22199" w:rsidRDefault="00E22199" w:rsidP="00E221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vô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"https://thuvienphapluat.vn/van-ban/Cong-nghe-thong-tin/Luat-tan-so-vo-tuyen-dien-nam-2009-98673.aspx" \t "_blank" </w:instrTex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Luật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Tần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số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vô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tuyến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điện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>số</w:t>
      </w:r>
      <w:proofErr w:type="spellEnd"/>
      <w:r w:rsidRPr="00E22199">
        <w:rPr>
          <w:rFonts w:ascii="Arial" w:eastAsia="Times New Roman" w:hAnsi="Arial" w:cs="Arial"/>
          <w:color w:val="0E70C3"/>
          <w:sz w:val="18"/>
          <w:szCs w:val="18"/>
          <w:u w:val="single"/>
        </w:rPr>
        <w:t xml:space="preserve"> 42/2009/QH12</w:t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30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6 </w:t>
      </w:r>
      <w:proofErr w:type="spellStart"/>
      <w:r w:rsidRPr="00E22199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E22199">
        <w:rPr>
          <w:rFonts w:ascii="Arial" w:eastAsia="Times New Roman" w:hAnsi="Arial" w:cs="Arial"/>
          <w:color w:val="000000"/>
          <w:sz w:val="18"/>
          <w:szCs w:val="18"/>
        </w:rPr>
        <w:t xml:space="preserve"> 2024./.</w:t>
      </w:r>
    </w:p>
    <w:p w14:paraId="23D01EE2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Luật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này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được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Quốc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hội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nước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Cộng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hòa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xã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hội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chủ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nghĩa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Việt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Nam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khóa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XV,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kỳ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họp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thứ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4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thông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qua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09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11 </w:t>
      </w:r>
      <w:proofErr w:type="spellStart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E2219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2022.</w:t>
      </w:r>
    </w:p>
    <w:p w14:paraId="023D831F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E22199" w:rsidRPr="00E22199" w14:paraId="00E905EE" w14:textId="77777777" w:rsidTr="00E22199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BF207" w14:textId="77777777" w:rsidR="00E22199" w:rsidRPr="00E22199" w:rsidRDefault="00E22199" w:rsidP="00E221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21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A363" w14:textId="77777777" w:rsidR="00E22199" w:rsidRPr="00E22199" w:rsidRDefault="00E22199" w:rsidP="00E221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TỊCH QUỐC HỘI</w:t>
            </w:r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Vương</w:t>
            </w:r>
            <w:proofErr w:type="spellEnd"/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Đình</w:t>
            </w:r>
            <w:proofErr w:type="spellEnd"/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21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Huệ</w:t>
            </w:r>
            <w:proofErr w:type="spellEnd"/>
          </w:p>
        </w:tc>
      </w:tr>
    </w:tbl>
    <w:p w14:paraId="06953CE1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14:paraId="264D26CF" w14:textId="77777777" w:rsidR="00E22199" w:rsidRPr="00E22199" w:rsidRDefault="00E22199" w:rsidP="00E221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1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7DAF2E6C" w14:textId="77777777" w:rsidR="00A30A19" w:rsidRDefault="00A30A19"/>
    <w:sectPr w:rsidR="00A3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99"/>
    <w:rsid w:val="00A30A19"/>
    <w:rsid w:val="00E2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8F2C0"/>
  <w15:chartTrackingRefBased/>
  <w15:docId w15:val="{41737BA6-E669-4003-A6D6-39BE98E7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4469</Words>
  <Characters>25478</Characters>
  <Application>Microsoft Office Word</Application>
  <DocSecurity>0</DocSecurity>
  <Lines>212</Lines>
  <Paragraphs>59</Paragraphs>
  <ScaleCrop>false</ScaleCrop>
  <Company/>
  <LinksUpToDate>false</LinksUpToDate>
  <CharactersWithSpaces>29888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84869997285</dc:creator>
  <cp:keywords/>
  <dc:description/>
  <cp:lastModifiedBy>84869997285</cp:lastModifiedBy>
  <cp:revision>1</cp:revision>
  <dcterms:created xsi:type="dcterms:W3CDTF">2023-03-14T01:45:00Z</dcterms:created>
  <dcterms:modified xsi:type="dcterms:W3CDTF">2023-03-14T01:46:00Z</dcterms:modified>
</cp:coreProperties>
</file>